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5190E886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5190E886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5190E886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14B6C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 Type: </w:t>
            </w:r>
            <w:r w:rsidRPr="00633EE7">
              <w:rPr>
                <w:szCs w:val="24"/>
              </w:rPr>
              <w:t>SRB-02 Counseled on Zone B SRB member near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10 year</w:t>
            </w:r>
            <w:proofErr w:type="gramEnd"/>
            <w:r>
              <w:rPr>
                <w:szCs w:val="24"/>
              </w:rPr>
              <w:t xml:space="preserve"> AD anniversary</w:t>
            </w:r>
          </w:p>
          <w:p w14:paraId="7A4768BD" w14:textId="77777777" w:rsidR="00051A70" w:rsidRPr="00F157E2" w:rsidRDefault="00051A70" w:rsidP="00051A70">
            <w:pPr>
              <w:pStyle w:val="TableText"/>
              <w:ind w:left="1152" w:hanging="1152"/>
              <w:rPr>
                <w:szCs w:val="24"/>
              </w:rPr>
            </w:pPr>
            <w:r w:rsidRPr="00F157E2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08A1A44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Responsible Level: Unit</w:t>
            </w:r>
          </w:p>
          <w:p w14:paraId="6D1E631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Entry:  </w:t>
            </w:r>
          </w:p>
          <w:p w14:paraId="41CB5E24" w14:textId="1C3FB85B" w:rsidR="00051A70" w:rsidRPr="00DE6B74" w:rsidRDefault="00051A70" w:rsidP="00051A70">
            <w:pPr>
              <w:pStyle w:val="TableText"/>
            </w:pPr>
            <w:r w:rsidRPr="00F157E2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68673038">
              <w:rPr>
                <w:noProof/>
              </w:rPr>
              <w:t>DDMMYYYY</w:t>
            </w:r>
            <w:r w:rsidRPr="00F157E2">
              <w:rPr>
                <w:szCs w:val="24"/>
              </w:rPr>
              <w:fldChar w:fldCharType="end"/>
            </w:r>
            <w:r w:rsidRPr="00F157E2">
              <w:rPr>
                <w:szCs w:val="24"/>
              </w:rPr>
              <w:t xml:space="preserve">:  </w:t>
            </w:r>
            <w:r w:rsidRPr="68673038">
              <w:t xml:space="preserve">I have reviewed </w:t>
            </w:r>
            <w:r w:rsidR="402C2856" w:rsidRPr="68673038">
              <w:t>ALCOAST 325/24</w:t>
            </w:r>
            <w:r w:rsidRPr="68673038">
              <w:t xml:space="preserve"> and Paragraphs 1.D (“Repayment of Unearned Bonus Amounts”) and 2.F.7 (“Special Conditions”) of Military Bonus and Incentive Programs, COMDINST 7220.2 (series) and any associated ALCOAST/ACN FAQ’s. I have been informed that:</w:t>
            </w:r>
          </w:p>
          <w:p w14:paraId="31E7525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24E7D1E" w14:textId="49F0AA8D" w:rsidR="00051A70" w:rsidRPr="005C1EA4" w:rsidRDefault="00051A70" w:rsidP="00051A70">
            <w:r w:rsidRPr="005C1EA4">
              <w:t>My current Selective Reenlistment Bonus (SRB) entitlement is based upon eligibility to a</w:t>
            </w:r>
            <w:r>
              <w:t xml:space="preserve">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or E5) IRR to AD for 4YR/$30,000 ($625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4E776C">
              <w:fldChar w:fldCharType="separate"/>
            </w:r>
            <w:r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5C1EA4">
              <w:t xml:space="preserve"> SRB in accordance with </w:t>
            </w:r>
            <w:r w:rsidR="402C2856">
              <w:t>ALCOAST 325/24</w:t>
            </w:r>
            <w:r w:rsidRPr="005C1EA4">
              <w:t>, which has been made available for my review.</w:t>
            </w:r>
          </w:p>
          <w:p w14:paraId="6822B38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64D19E8" w14:textId="77777777" w:rsidR="00051A70" w:rsidRPr="00F157E2" w:rsidRDefault="00051A70" w:rsidP="00051A70">
            <w:pPr>
              <w:pStyle w:val="TableText"/>
            </w:pPr>
            <w:r w:rsidRPr="5190E886">
              <w:t xml:space="preserve">In accordance with article 2.D, Military Separations, COMDTINST M1000.4 (series), I am eligible to reenlist for a maximum of </w:t>
            </w:r>
            <w:bookmarkStart w:id="1" w:name="Text33"/>
            <w:r w:rsidRPr="00F157E2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5190E886">
              <w:rPr>
                <w:noProof/>
              </w:rPr>
              <w:t>[enter number of years]</w:t>
            </w:r>
            <w:r w:rsidRPr="00F157E2">
              <w:rPr>
                <w:szCs w:val="24"/>
              </w:rPr>
              <w:fldChar w:fldCharType="end"/>
            </w:r>
            <w:bookmarkEnd w:id="1"/>
            <w:r w:rsidRPr="5190E886">
              <w:t xml:space="preserve"> years.  My SRB will be computed based on </w:t>
            </w: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5190E886">
              <w:rPr>
                <w:noProof/>
              </w:rPr>
              <w:t>[enter number of months]</w:t>
            </w:r>
            <w:r>
              <w:rPr>
                <w:szCs w:val="24"/>
              </w:rPr>
              <w:fldChar w:fldCharType="end"/>
            </w:r>
            <w:bookmarkEnd w:id="2"/>
            <w:r w:rsidRPr="5190E886">
              <w:t xml:space="preserve"> months newly obligated service. </w:t>
            </w:r>
          </w:p>
          <w:p w14:paraId="26E79C0B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E5A25C5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10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 w:rsidRPr="00777730">
              <w:rPr>
                <w:szCs w:val="24"/>
              </w:rPr>
              <w:t>10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10 year anniversary date but eligible to receive a Zone B SRB in accordance with </w:t>
            </w:r>
            <w:r>
              <w:rPr>
                <w:szCs w:val="24"/>
              </w:rPr>
              <w:t>2.F.6.b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10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0367ACE5" w14:textId="77777777" w:rsidR="00051A70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2B4589BA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08F64C85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6451E4EC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7A680CF3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30EC3EFC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149983F1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7C534C16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2D7404C6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18359C7B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0F0528D2" w14:textId="77777777" w:rsidR="00881748" w:rsidRDefault="00881748" w:rsidP="00051A70">
            <w:pPr>
              <w:pStyle w:val="TableText"/>
              <w:rPr>
                <w:szCs w:val="24"/>
              </w:rPr>
            </w:pPr>
          </w:p>
          <w:p w14:paraId="79716047" w14:textId="207795D4" w:rsidR="00881748" w:rsidRPr="00F157E2" w:rsidRDefault="008943B4" w:rsidP="00881748">
            <w:pPr>
              <w:pStyle w:val="TableText"/>
              <w:ind w:left="7920"/>
              <w:rPr>
                <w:szCs w:val="24"/>
              </w:rPr>
            </w:pPr>
            <w:r>
              <w:rPr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BB13F" wp14:editId="317DEC96">
                      <wp:simplePos x="0" y="0"/>
                      <wp:positionH relativeFrom="column">
                        <wp:posOffset>6292215</wp:posOffset>
                      </wp:positionH>
                      <wp:positionV relativeFrom="paragraph">
                        <wp:posOffset>100965</wp:posOffset>
                      </wp:positionV>
                      <wp:extent cx="209550" cy="0"/>
                      <wp:effectExtent l="0" t="76200" r="19050" b="95250"/>
                      <wp:wrapNone/>
                      <wp:docPr id="97918868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386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5.45pt;margin-top:7.95pt;width:16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" strokecolor="black [3213]">
                      <v:stroke endarrow="block"/>
                    </v:shape>
                  </w:pict>
                </mc:Fallback>
              </mc:AlternateContent>
            </w:r>
            <w:r w:rsidR="00881748" w:rsidRPr="00881748">
              <w:rPr>
                <w:i/>
                <w:szCs w:val="24"/>
              </w:rPr>
              <w:t>Continue next page</w:t>
            </w:r>
          </w:p>
          <w:p w14:paraId="3B6074C1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7E6BE65A" w14:textId="77777777" w:rsidR="00051A70" w:rsidRDefault="00051A70" w:rsidP="00051A70">
            <w:pPr>
              <w:pStyle w:val="TableText"/>
              <w:rPr>
                <w:szCs w:val="24"/>
              </w:rPr>
            </w:pPr>
          </w:p>
          <w:p w14:paraId="0C710D8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682086D9" w14:textId="7873ECF8" w:rsidR="00051A70" w:rsidRPr="00F157E2" w:rsidRDefault="00051A70" w:rsidP="00051A70">
            <w:pPr>
              <w:pStyle w:val="TableText"/>
              <w:jc w:val="right"/>
              <w:rPr>
                <w:i/>
                <w:sz w:val="20"/>
                <w:szCs w:val="24"/>
              </w:rPr>
            </w:pP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ABFE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881748">
              <w:t>Entry</w:t>
            </w:r>
            <w:r w:rsidRPr="00881748">
              <w:rPr>
                <w:i/>
              </w:rPr>
              <w:t>: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B10FE">
              <w:rPr>
                <w:i/>
              </w:rPr>
              <w:t>(Continued from previous page)</w:t>
            </w:r>
          </w:p>
          <w:p w14:paraId="04C7E11B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</w:pPr>
          </w:p>
          <w:p w14:paraId="03137445" w14:textId="77777777" w:rsidR="00D843E0" w:rsidRPr="00DE6B74" w:rsidRDefault="00D843E0" w:rsidP="00D843E0">
            <w:pPr>
              <w:widowControl/>
              <w:autoSpaceDE/>
              <w:autoSpaceDN/>
              <w:adjustRightInd/>
            </w:pPr>
            <w:r w:rsidRPr="00C048B5">
              <w:t>Per paragraph 1.D of Military Bonus 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1C603C0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</w:p>
          <w:p w14:paraId="32EBC4E5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9ED4256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3"/>
          </w:p>
          <w:p w14:paraId="3E16991C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4"/>
          </w:p>
          <w:p w14:paraId="03FCA609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5"/>
          </w:p>
          <w:p w14:paraId="0E7A591A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6"/>
          </w:p>
          <w:p w14:paraId="06B8E5E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7"/>
          </w:p>
          <w:p w14:paraId="7E58B63E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2C5454DF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3A48BBA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13543BA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 (Signature of Member)</w:t>
            </w:r>
            <w:r w:rsidRPr="007B10FE">
              <w:rPr>
                <w:szCs w:val="24"/>
              </w:rPr>
              <w:fldChar w:fldCharType="end"/>
            </w:r>
          </w:p>
          <w:p w14:paraId="2180654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5BA542C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683BEDBB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E1BFF4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731DAA5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LAST, RATE, USCG/USCGR</w:t>
            </w:r>
            <w:r w:rsidRPr="007B10FE">
              <w:rPr>
                <w:szCs w:val="24"/>
              </w:rPr>
              <w:fldChar w:fldCharType="end"/>
            </w:r>
          </w:p>
          <w:p w14:paraId="541D0AD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Signature of Counselor</w:t>
            </w:r>
            <w:r w:rsidRPr="007B10FE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4E776C">
              <w:rPr>
                <w:rFonts w:ascii="Arial" w:hAnsi="Arial"/>
                <w:spacing w:val="8"/>
                <w:sz w:val="20"/>
                <w:szCs w:val="20"/>
              </w:rPr>
            </w:r>
            <w:r w:rsidR="004E776C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proofErr w:type="spellStart"/>
            <w:r w:rsidRPr="00895DF2">
              <w:rPr>
                <w:rFonts w:ascii="Arial" w:hAnsi="Arial" w:cs="Arial"/>
                <w:sz w:val="15"/>
                <w:szCs w:val="15"/>
              </w:rPr>
              <w:t>Ml</w:t>
            </w:r>
            <w:proofErr w:type="spellEnd"/>
            <w:r w:rsidRPr="00895DF2"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2603C"/>
    <w:rsid w:val="00051A70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17A2D"/>
    <w:rsid w:val="00244ADE"/>
    <w:rsid w:val="002556B5"/>
    <w:rsid w:val="002706B0"/>
    <w:rsid w:val="0029199D"/>
    <w:rsid w:val="002926EC"/>
    <w:rsid w:val="002C0C26"/>
    <w:rsid w:val="002D2A6E"/>
    <w:rsid w:val="002E065A"/>
    <w:rsid w:val="003371FA"/>
    <w:rsid w:val="00343A4D"/>
    <w:rsid w:val="00363134"/>
    <w:rsid w:val="003B476A"/>
    <w:rsid w:val="003B726D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E776C"/>
    <w:rsid w:val="004F6285"/>
    <w:rsid w:val="005251E2"/>
    <w:rsid w:val="00567A30"/>
    <w:rsid w:val="005872DA"/>
    <w:rsid w:val="005A7765"/>
    <w:rsid w:val="005B5D8C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81748"/>
    <w:rsid w:val="008943B4"/>
    <w:rsid w:val="008A68B2"/>
    <w:rsid w:val="008B66AB"/>
    <w:rsid w:val="0096648E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618A1"/>
    <w:rsid w:val="00D843E0"/>
    <w:rsid w:val="00DA36F7"/>
    <w:rsid w:val="00DE367F"/>
    <w:rsid w:val="00DF5922"/>
    <w:rsid w:val="00DF7863"/>
    <w:rsid w:val="00E16AB6"/>
    <w:rsid w:val="00E17195"/>
    <w:rsid w:val="00E20FD3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  <w:rsid w:val="402C2856"/>
    <w:rsid w:val="5190E886"/>
    <w:rsid w:val="686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B637D-595F-4839-9162-BE695FC342DD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1167937E-C25C-4C37-B6A5-0DB10256D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D071F-9968-4923-BC42-D020B55D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8</cp:revision>
  <dcterms:created xsi:type="dcterms:W3CDTF">2023-10-25T17:43:00Z</dcterms:created>
  <dcterms:modified xsi:type="dcterms:W3CDTF">2024-09-20T16:14:00Z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